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08" w:rsidRPr="00815B08" w:rsidRDefault="00815B08" w:rsidP="00815B08">
      <w:pPr>
        <w:shd w:val="clear" w:color="auto" w:fill="FFFFFF"/>
        <w:spacing w:after="156" w:line="320" w:lineRule="atLeast"/>
        <w:textAlignment w:val="baseline"/>
        <w:outlineLvl w:val="1"/>
        <w:rPr>
          <w:rFonts w:ascii="Garamond" w:eastAsia="Times New Roman" w:hAnsi="Garamond" w:cs="Times New Roman"/>
          <w:color w:val="057B56"/>
          <w:sz w:val="54"/>
          <w:szCs w:val="54"/>
        </w:rPr>
      </w:pPr>
      <w:bookmarkStart w:id="0" w:name="_GoBack"/>
      <w:bookmarkEnd w:id="0"/>
      <w:r w:rsidRPr="00815B08">
        <w:rPr>
          <w:rFonts w:ascii="Garamond" w:eastAsia="Times New Roman" w:hAnsi="Garamond" w:cs="Times New Roman"/>
          <w:color w:val="057B56"/>
          <w:sz w:val="54"/>
          <w:szCs w:val="54"/>
        </w:rPr>
        <w:t xml:space="preserve">Toxicology 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DESCRIPTION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 xml:space="preserve">This online Graduate Certificate in Toxicology is designed to introduce post-baccalaureate students to fundamental concepts in the discipline of toxicology. This certificate program will advance the knowledge of current professionals in </w:t>
      </w:r>
      <w:proofErr w:type="gramStart"/>
      <w:r w:rsidRPr="00815B08">
        <w:rPr>
          <w:rFonts w:ascii="Arial" w:eastAsia="Times New Roman" w:hAnsi="Arial" w:cs="Arial"/>
          <w:color w:val="666666"/>
          <w:sz w:val="20"/>
          <w:szCs w:val="20"/>
        </w:rPr>
        <w:t>fields</w:t>
      </w:r>
      <w:proofErr w:type="gramEnd"/>
      <w:r w:rsidRPr="00815B08">
        <w:rPr>
          <w:rFonts w:ascii="Arial" w:eastAsia="Times New Roman" w:hAnsi="Arial" w:cs="Arial"/>
          <w:color w:val="666666"/>
          <w:sz w:val="20"/>
          <w:szCs w:val="20"/>
        </w:rPr>
        <w:t xml:space="preserve"> related to occupational health and environmental health, and will prepare students with the intention of pursuing a graduate level degree in these fields. Students will apply concepts in the science of toxicology to issues of occupational and environmental health regulations, hazardous materials safety, chemical related illness, and </w:t>
      </w:r>
      <w:r>
        <w:rPr>
          <w:rFonts w:ascii="Arial" w:eastAsia="Times New Roman" w:hAnsi="Arial" w:cs="Arial"/>
          <w:color w:val="666666"/>
          <w:sz w:val="20"/>
          <w:szCs w:val="20"/>
        </w:rPr>
        <w:t>exposure assessment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COURSE LOCATION/DELIVERY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The Certificate is offered fully online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ADMISSION REQUIREMENTS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Applicants must hold a bachelor's degree in a science-based field (e.g. life science, natural science, and engineering) from a regionally accredited institution with a minimum 3.0 GPA.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APPLICATION PROCESS</w:t>
      </w:r>
    </w:p>
    <w:p w:rsidR="00815B08" w:rsidRP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To learn about the application process, and to access the application, please review our </w:t>
      </w:r>
      <w:hyperlink r:id="rId5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application process</w:t>
        </w:r>
      </w:hyperlink>
      <w:r w:rsidRPr="00815B08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PREREQUISITES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One course in college level chemistry.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REQUIREMENTS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1</w:t>
      </w:r>
      <w:r>
        <w:rPr>
          <w:rFonts w:ascii="Arial" w:eastAsia="Times New Roman" w:hAnsi="Arial" w:cs="Arial"/>
          <w:color w:val="666666"/>
          <w:sz w:val="20"/>
          <w:szCs w:val="20"/>
        </w:rPr>
        <w:t>4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t xml:space="preserve"> credit hours</w:t>
      </w:r>
    </w:p>
    <w:p w:rsidR="00815B08" w:rsidRPr="00815B08" w:rsidRDefault="00815B08" w:rsidP="00815B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>
        <w:rPr>
          <w:rFonts w:ascii="inherit" w:eastAsia="Times New Roman" w:hAnsi="inherit" w:cs="Arial"/>
          <w:color w:val="666666"/>
          <w:sz w:val="20"/>
          <w:szCs w:val="20"/>
        </w:rPr>
        <w:t>HSC 6556 – Pathobiology of Human Disease I</w:t>
      </w: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  (3)</w:t>
      </w:r>
    </w:p>
    <w:p w:rsidR="00815B08" w:rsidRPr="00815B08" w:rsidRDefault="00815B08" w:rsidP="00815B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PHC </w:t>
      </w:r>
      <w:r>
        <w:rPr>
          <w:rFonts w:ascii="inherit" w:eastAsia="Times New Roman" w:hAnsi="inherit" w:cs="Arial"/>
          <w:color w:val="666666"/>
          <w:sz w:val="20"/>
          <w:szCs w:val="20"/>
        </w:rPr>
        <w:t>6310 – Environmental and Occupational Toxicology</w:t>
      </w:r>
      <w:r w:rsidRPr="00815B08">
        <w:rPr>
          <w:rFonts w:ascii="inherit" w:eastAsia="Times New Roman" w:hAnsi="inherit" w:cs="Arial"/>
          <w:color w:val="666666"/>
          <w:sz w:val="20"/>
          <w:szCs w:val="20"/>
        </w:rPr>
        <w:t>(3)</w:t>
      </w:r>
    </w:p>
    <w:p w:rsidR="00815B08" w:rsidRPr="00815B08" w:rsidRDefault="00815B08" w:rsidP="00815B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PHC </w:t>
      </w:r>
      <w:r>
        <w:rPr>
          <w:rFonts w:ascii="inherit" w:eastAsia="Times New Roman" w:hAnsi="inherit" w:cs="Arial"/>
          <w:color w:val="666666"/>
          <w:sz w:val="20"/>
          <w:szCs w:val="20"/>
        </w:rPr>
        <w:t>6369 – Industrial Toxicology (2)</w:t>
      </w:r>
    </w:p>
    <w:p w:rsidR="00815B08" w:rsidRPr="00815B08" w:rsidRDefault="00815B08" w:rsidP="00815B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PHC </w:t>
      </w:r>
      <w:r>
        <w:rPr>
          <w:rFonts w:ascii="inherit" w:eastAsia="Times New Roman" w:hAnsi="inherit" w:cs="Arial"/>
          <w:color w:val="666666"/>
          <w:sz w:val="20"/>
          <w:szCs w:val="20"/>
        </w:rPr>
        <w:t>6325 – Environmental Laboratory Principles</w:t>
      </w: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 (3)</w:t>
      </w:r>
    </w:p>
    <w:p w:rsidR="00815B08" w:rsidRPr="00815B08" w:rsidRDefault="00815B08" w:rsidP="00815B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15B08">
        <w:rPr>
          <w:rFonts w:ascii="inherit" w:eastAsia="Times New Roman" w:hAnsi="inherit" w:cs="Arial"/>
          <w:color w:val="666666"/>
          <w:sz w:val="20"/>
          <w:szCs w:val="20"/>
        </w:rPr>
        <w:t xml:space="preserve">PHC </w:t>
      </w:r>
      <w:r>
        <w:rPr>
          <w:rFonts w:ascii="inherit" w:eastAsia="Times New Roman" w:hAnsi="inherit" w:cs="Arial"/>
          <w:color w:val="666666"/>
          <w:sz w:val="20"/>
          <w:szCs w:val="20"/>
        </w:rPr>
        <w:t>6307 – Principles of Exposure Assessment &amp; Control (3)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ELECTIVES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None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TIME LIMIT FOR COMPLETION OF CERTIFICATE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Per University Policy, all Certificates have a five year time limit; however, the approximate time to complete the Certificate is two years.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CREDIT TOWARD GRADUATE DEGREE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Up to 12 hours of certificate course credits may be applied to a graduate degree with departmental approval.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lastRenderedPageBreak/>
        <w:t>STANDARDIZED TESTS</w:t>
      </w:r>
    </w:p>
    <w:p w:rsidR="00815B08" w:rsidRPr="00815B08" w:rsidRDefault="00815B08" w:rsidP="00815B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International students must submit a TOEFL score when English is not the native language. A minimum score of 550 on the paper-based test or 79 on the web-based test is required.</w:t>
      </w:r>
    </w:p>
    <w:p w:rsidR="00815B08" w:rsidRPr="00815B08" w:rsidRDefault="00815B08" w:rsidP="00815B08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CONTACTS</w:t>
      </w:r>
    </w:p>
    <w:p w:rsidR="00815B08" w:rsidRP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</w:p>
    <w:p w:rsid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Marie Bourgeois, PhD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  <w:t>813-974-6633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6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Ira Richards, PhD</w:t>
      </w:r>
    </w:p>
    <w:p w:rsid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813-974-6630</w:t>
      </w:r>
    </w:p>
    <w:p w:rsidR="00815B08" w:rsidRP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Send email</w:t>
      </w:r>
    </w:p>
    <w:p w:rsidR="00815B08" w:rsidRP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Pre-Admissions Advising - Public Health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7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815B08" w:rsidRPr="00815B08" w:rsidRDefault="00815B08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Graduate Certificates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  <w:t>813-974-4926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8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815B08" w:rsidRPr="00815B08" w:rsidRDefault="003730A9" w:rsidP="00815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9" w:tgtFrame="_blank" w:history="1">
        <w:r w:rsidR="00815B08"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Department Website</w:t>
        </w:r>
      </w:hyperlink>
    </w:p>
    <w:p w:rsidR="0052706E" w:rsidRDefault="003730A9"/>
    <w:sectPr w:rsidR="0052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1DC"/>
    <w:multiLevelType w:val="multilevel"/>
    <w:tmpl w:val="437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8"/>
    <w:rsid w:val="00040E1F"/>
    <w:rsid w:val="003730A9"/>
    <w:rsid w:val="004D010B"/>
    <w:rsid w:val="00815B08"/>
    <w:rsid w:val="00842B89"/>
    <w:rsid w:val="00C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3A20F-0C1C-48DF-A6BB-FC2C3CB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5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B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5B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B08"/>
    <w:rPr>
      <w:color w:val="0000FF"/>
      <w:u w:val="single"/>
    </w:rPr>
  </w:style>
  <w:style w:type="paragraph" w:styleId="Revision">
    <w:name w:val="Revision"/>
    <w:hidden/>
    <w:uiPriority w:val="99"/>
    <w:semiHidden/>
    <w:rsid w:val="00815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erts@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admissions@health.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rgeo@health.usf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f.edu/innovative-education/programs/graduate-certificates/application-proces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alth.usf.edu/publichealth/eoh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 IS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Bourgeois, Marie</dc:creator>
  <cp:keywords/>
  <dc:description/>
  <cp:lastModifiedBy>Hines-Cobb, Carol</cp:lastModifiedBy>
  <cp:revision>2</cp:revision>
  <dcterms:created xsi:type="dcterms:W3CDTF">2018-03-28T02:21:00Z</dcterms:created>
  <dcterms:modified xsi:type="dcterms:W3CDTF">2018-03-28T02:21:00Z</dcterms:modified>
</cp:coreProperties>
</file>